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AE" w:rsidRPr="00A675AE" w:rsidRDefault="00213E6B" w:rsidP="00A675AE">
      <w:pPr>
        <w:pStyle w:val="NoSpacing"/>
        <w:rPr>
          <w:color w:val="336600"/>
          <w:sz w:val="36"/>
        </w:rPr>
      </w:pPr>
      <w:r w:rsidRPr="00A675AE">
        <w:rPr>
          <w:noProof/>
          <w:color w:val="336600"/>
          <w:sz w:val="36"/>
        </w:rPr>
        <mc:AlternateContent>
          <mc:Choice Requires="wpg">
            <w:drawing>
              <wp:anchor distT="0" distB="0" distL="114300" distR="114300" simplePos="0" relativeHeight="251658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5CF0" id="Group 2" o:spid="_x0000_s1026" style="position:absolute;margin-left:25.45pt;margin-top:25.45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00A675AE" w:rsidRPr="00A675AE">
        <w:rPr>
          <w:color w:val="336600"/>
          <w:sz w:val="36"/>
        </w:rPr>
        <w:t>THE STUDENT WHO IS ACADEMICALLY UNDERACHIEVING</w:t>
      </w:r>
      <w:r w:rsidR="00A675AE" w:rsidRPr="00A675AE">
        <w:t xml:space="preserve"> </w:t>
      </w:r>
    </w:p>
    <w:p w:rsidR="00A675AE" w:rsidRDefault="00A675AE" w:rsidP="00A675AE">
      <w:pPr>
        <w:pStyle w:val="NoSpacing"/>
        <w:rPr>
          <w:sz w:val="28"/>
          <w:szCs w:val="28"/>
        </w:rPr>
      </w:pPr>
    </w:p>
    <w:p w:rsidR="006512E7" w:rsidRPr="00A675AE" w:rsidRDefault="00EB3B3E" w:rsidP="00A675AE">
      <w:pPr>
        <w:pStyle w:val="NoSpacing"/>
        <w:rPr>
          <w:sz w:val="28"/>
          <w:szCs w:val="28"/>
        </w:rPr>
      </w:pPr>
      <w:r w:rsidRPr="00A675AE">
        <w:rPr>
          <w:sz w:val="28"/>
          <w:szCs w:val="28"/>
        </w:rPr>
        <w:t>While it is easy to conclude that the academically underachieving student is simply unmotivated, the real situation is often more complicated. Students may be preoccupied with situational and family problems, or have emotional problems that are distracting and disabling. They may have learning disabilities, attention deficit disorder, or substance abuse problems. Previous failures for any reason can engender a hopeless outlook and a defensive attitude of “I don’t care.”</w:t>
      </w:r>
    </w:p>
    <w:p w:rsidR="006512E7" w:rsidRPr="00A675AE" w:rsidRDefault="006512E7">
      <w:pPr>
        <w:pStyle w:val="BodyText"/>
        <w:rPr>
          <w:sz w:val="28"/>
          <w:szCs w:val="28"/>
        </w:rPr>
      </w:pPr>
    </w:p>
    <w:p w:rsidR="006512E7" w:rsidRPr="00A675AE" w:rsidRDefault="006512E7">
      <w:pPr>
        <w:pStyle w:val="BodyText"/>
        <w:spacing w:before="8"/>
        <w:rPr>
          <w:sz w:val="28"/>
          <w:szCs w:val="28"/>
        </w:rPr>
      </w:pPr>
    </w:p>
    <w:p w:rsidR="00213E6B" w:rsidRPr="00A675AE" w:rsidRDefault="00213E6B" w:rsidP="00A675AE">
      <w:pPr>
        <w:pStyle w:val="NoSpacing"/>
        <w:rPr>
          <w:b/>
          <w:color w:val="336600"/>
          <w:sz w:val="28"/>
          <w:szCs w:val="28"/>
        </w:rPr>
      </w:pPr>
      <w:r w:rsidRPr="00A675AE">
        <w:rPr>
          <w:b/>
          <w:color w:val="336600"/>
          <w:sz w:val="28"/>
          <w:szCs w:val="28"/>
        </w:rPr>
        <w:t>WHAT TO DO:</w:t>
      </w:r>
    </w:p>
    <w:p w:rsidR="00A675AE" w:rsidRPr="00A675AE" w:rsidRDefault="00213E6B" w:rsidP="00A675AE">
      <w:pPr>
        <w:pStyle w:val="NoSpacing"/>
        <w:numPr>
          <w:ilvl w:val="0"/>
          <w:numId w:val="5"/>
        </w:numPr>
        <w:rPr>
          <w:sz w:val="28"/>
          <w:szCs w:val="28"/>
        </w:rPr>
      </w:pPr>
      <w:r w:rsidRPr="00A675AE">
        <w:rPr>
          <w:sz w:val="28"/>
          <w:szCs w:val="28"/>
        </w:rPr>
        <w:t>Inquire compassionately as to what the problems are.</w:t>
      </w:r>
    </w:p>
    <w:p w:rsidR="00A675AE" w:rsidRPr="00A675AE" w:rsidRDefault="00213E6B" w:rsidP="00A675AE">
      <w:pPr>
        <w:pStyle w:val="NoSpacing"/>
        <w:numPr>
          <w:ilvl w:val="0"/>
          <w:numId w:val="5"/>
        </w:numPr>
        <w:rPr>
          <w:sz w:val="28"/>
          <w:szCs w:val="28"/>
        </w:rPr>
      </w:pPr>
      <w:r w:rsidRPr="00A675AE">
        <w:rPr>
          <w:sz w:val="28"/>
          <w:szCs w:val="28"/>
        </w:rPr>
        <w:t>Provide enough time for the student to open up. His or her initial defensiveness might be off-putting to an instructor who values involvement and dedication in their students.</w:t>
      </w:r>
    </w:p>
    <w:p w:rsidR="00A675AE" w:rsidRPr="00A675AE" w:rsidRDefault="00213E6B" w:rsidP="00A675AE">
      <w:pPr>
        <w:pStyle w:val="NoSpacing"/>
        <w:numPr>
          <w:ilvl w:val="0"/>
          <w:numId w:val="5"/>
        </w:numPr>
        <w:rPr>
          <w:sz w:val="28"/>
          <w:szCs w:val="28"/>
        </w:rPr>
      </w:pPr>
      <w:r w:rsidRPr="00A675AE">
        <w:rPr>
          <w:sz w:val="28"/>
          <w:szCs w:val="28"/>
        </w:rPr>
        <w:t>Help the student assess the source of underachievement, e.g., distractions, preoccupati</w:t>
      </w:r>
      <w:bookmarkStart w:id="0" w:name="_GoBack"/>
      <w:bookmarkEnd w:id="0"/>
      <w:r w:rsidRPr="00A675AE">
        <w:rPr>
          <w:sz w:val="28"/>
          <w:szCs w:val="28"/>
        </w:rPr>
        <w:t>ons, emotional problems, depression, difficulties with underlying academic and study skills.</w:t>
      </w:r>
    </w:p>
    <w:p w:rsidR="00A675AE" w:rsidRPr="00A675AE" w:rsidRDefault="00213E6B" w:rsidP="00A675AE">
      <w:pPr>
        <w:pStyle w:val="NoSpacing"/>
        <w:numPr>
          <w:ilvl w:val="0"/>
          <w:numId w:val="5"/>
        </w:numPr>
        <w:rPr>
          <w:sz w:val="28"/>
          <w:szCs w:val="28"/>
        </w:rPr>
      </w:pPr>
      <w:r w:rsidRPr="00A675AE">
        <w:rPr>
          <w:sz w:val="28"/>
          <w:szCs w:val="28"/>
        </w:rPr>
        <w:t>Sensitively address the difficulty of dealing with a “failure mentality.”</w:t>
      </w:r>
    </w:p>
    <w:p w:rsidR="00213E6B" w:rsidRPr="00A675AE" w:rsidRDefault="00213E6B" w:rsidP="00A675AE">
      <w:pPr>
        <w:pStyle w:val="NoSpacing"/>
        <w:numPr>
          <w:ilvl w:val="0"/>
          <w:numId w:val="5"/>
        </w:numPr>
        <w:rPr>
          <w:sz w:val="28"/>
          <w:szCs w:val="28"/>
        </w:rPr>
      </w:pPr>
      <w:r w:rsidRPr="00A675AE">
        <w:rPr>
          <w:sz w:val="28"/>
          <w:szCs w:val="28"/>
        </w:rPr>
        <w:t>Provide information on college resources: Math Center, Writing Center, and Learning and Tutoring Centers</w:t>
      </w:r>
    </w:p>
    <w:p w:rsidR="00213E6B" w:rsidRPr="00A675AE" w:rsidRDefault="00213E6B" w:rsidP="00A675AE">
      <w:pPr>
        <w:pStyle w:val="NoSpacing"/>
        <w:rPr>
          <w:sz w:val="28"/>
          <w:szCs w:val="28"/>
        </w:rPr>
      </w:pPr>
    </w:p>
    <w:p w:rsidR="00213E6B" w:rsidRPr="00A675AE" w:rsidRDefault="00213E6B" w:rsidP="00A675AE">
      <w:pPr>
        <w:pStyle w:val="NoSpacing"/>
        <w:rPr>
          <w:b/>
          <w:color w:val="336600"/>
          <w:sz w:val="28"/>
          <w:szCs w:val="28"/>
        </w:rPr>
      </w:pPr>
      <w:r w:rsidRPr="00A675AE">
        <w:rPr>
          <w:b/>
          <w:color w:val="336600"/>
          <w:sz w:val="28"/>
          <w:szCs w:val="28"/>
        </w:rPr>
        <w:t>WHAT NOT TO DO:</w:t>
      </w:r>
    </w:p>
    <w:p w:rsidR="00A675AE" w:rsidRPr="00A675AE" w:rsidRDefault="00213E6B" w:rsidP="00A675AE">
      <w:pPr>
        <w:pStyle w:val="NoSpacing"/>
        <w:numPr>
          <w:ilvl w:val="0"/>
          <w:numId w:val="6"/>
        </w:numPr>
        <w:rPr>
          <w:sz w:val="28"/>
          <w:szCs w:val="28"/>
        </w:rPr>
      </w:pPr>
      <w:r w:rsidRPr="00A675AE">
        <w:rPr>
          <w:sz w:val="28"/>
          <w:szCs w:val="28"/>
        </w:rPr>
        <w:t>Don’t take the student’s problem personally or be insulted that they do not find the class engaging.</w:t>
      </w:r>
    </w:p>
    <w:p w:rsidR="00A675AE" w:rsidRPr="00A675AE" w:rsidRDefault="00213E6B" w:rsidP="00A675AE">
      <w:pPr>
        <w:pStyle w:val="NoSpacing"/>
        <w:numPr>
          <w:ilvl w:val="0"/>
          <w:numId w:val="6"/>
        </w:numPr>
        <w:rPr>
          <w:sz w:val="28"/>
          <w:szCs w:val="28"/>
        </w:rPr>
      </w:pPr>
      <w:r w:rsidRPr="00A675AE">
        <w:rPr>
          <w:sz w:val="28"/>
          <w:szCs w:val="28"/>
        </w:rPr>
        <w:t>Don’t presume too quickly the problem is mere laziness.</w:t>
      </w:r>
    </w:p>
    <w:p w:rsidR="00A675AE" w:rsidRPr="00A675AE" w:rsidRDefault="00213E6B" w:rsidP="00A675AE">
      <w:pPr>
        <w:pStyle w:val="NoSpacing"/>
        <w:numPr>
          <w:ilvl w:val="0"/>
          <w:numId w:val="6"/>
        </w:numPr>
        <w:rPr>
          <w:sz w:val="28"/>
          <w:szCs w:val="28"/>
        </w:rPr>
      </w:pPr>
      <w:r w:rsidRPr="00A675AE">
        <w:rPr>
          <w:sz w:val="28"/>
          <w:szCs w:val="28"/>
        </w:rPr>
        <w:t>Don’t punish the student for lack of involvement.</w:t>
      </w:r>
    </w:p>
    <w:p w:rsidR="00213E6B" w:rsidRPr="00A675AE" w:rsidRDefault="00213E6B" w:rsidP="00A675AE">
      <w:pPr>
        <w:pStyle w:val="NoSpacing"/>
        <w:numPr>
          <w:ilvl w:val="0"/>
          <w:numId w:val="6"/>
        </w:numPr>
        <w:rPr>
          <w:sz w:val="28"/>
          <w:szCs w:val="28"/>
        </w:rPr>
      </w:pPr>
      <w:r w:rsidRPr="00A675AE">
        <w:rPr>
          <w:sz w:val="28"/>
          <w:szCs w:val="28"/>
        </w:rPr>
        <w:t>Don’t dismiss the student and problem as unworkable in one meeting.</w:t>
      </w:r>
    </w:p>
    <w:p w:rsidR="006512E7" w:rsidRDefault="006512E7">
      <w:pPr>
        <w:pStyle w:val="BodyText"/>
        <w:rPr>
          <w:sz w:val="20"/>
        </w:rPr>
      </w:pPr>
    </w:p>
    <w:p w:rsidR="006512E7" w:rsidRDefault="006512E7">
      <w:pPr>
        <w:pStyle w:val="BodyText"/>
        <w:rPr>
          <w:sz w:val="20"/>
        </w:rPr>
      </w:pPr>
    </w:p>
    <w:p w:rsidR="006512E7" w:rsidRDefault="006512E7">
      <w:pPr>
        <w:pStyle w:val="BodyText"/>
        <w:rPr>
          <w:sz w:val="20"/>
        </w:rPr>
      </w:pPr>
    </w:p>
    <w:p w:rsidR="006512E7" w:rsidRDefault="006512E7">
      <w:pPr>
        <w:pStyle w:val="BodyText"/>
        <w:rPr>
          <w:sz w:val="20"/>
        </w:rPr>
      </w:pPr>
    </w:p>
    <w:p w:rsidR="006512E7" w:rsidRDefault="006512E7">
      <w:pPr>
        <w:pStyle w:val="BodyText"/>
        <w:rPr>
          <w:sz w:val="20"/>
        </w:rPr>
      </w:pPr>
    </w:p>
    <w:p w:rsidR="006512E7" w:rsidRDefault="006512E7">
      <w:pPr>
        <w:pStyle w:val="BodyText"/>
        <w:rPr>
          <w:sz w:val="20"/>
        </w:rPr>
      </w:pPr>
    </w:p>
    <w:p w:rsidR="0069467F" w:rsidRDefault="0069467F">
      <w:pPr>
        <w:pStyle w:val="BodyText"/>
        <w:rPr>
          <w:sz w:val="20"/>
        </w:rPr>
      </w:pPr>
    </w:p>
    <w:p w:rsidR="0069467F" w:rsidRDefault="0069467F">
      <w:pPr>
        <w:pStyle w:val="BodyText"/>
        <w:rPr>
          <w:sz w:val="20"/>
        </w:rPr>
      </w:pPr>
    </w:p>
    <w:p w:rsidR="0069467F" w:rsidRDefault="0069467F">
      <w:pPr>
        <w:pStyle w:val="BodyText"/>
        <w:rPr>
          <w:sz w:val="20"/>
        </w:rPr>
      </w:pPr>
    </w:p>
    <w:p w:rsidR="006512E7" w:rsidRPr="00A675AE" w:rsidRDefault="006512E7">
      <w:pPr>
        <w:pStyle w:val="BodyText"/>
        <w:rPr>
          <w:sz w:val="22"/>
        </w:rPr>
      </w:pPr>
    </w:p>
    <w:p w:rsidR="00DE4344" w:rsidRPr="00A675AE" w:rsidRDefault="00DE4344" w:rsidP="00DE4344">
      <w:pPr>
        <w:pStyle w:val="BodyText"/>
        <w:rPr>
          <w:w w:val="105"/>
          <w:sz w:val="28"/>
        </w:rPr>
      </w:pPr>
      <w:r w:rsidRPr="00A675AE">
        <w:rPr>
          <w:sz w:val="22"/>
        </w:rPr>
        <w:t xml:space="preserve"> </w:t>
      </w:r>
      <w:r w:rsidRPr="00A675AE">
        <w:rPr>
          <w:w w:val="105"/>
          <w:sz w:val="28"/>
        </w:rPr>
        <w:t>**</w:t>
      </w:r>
      <w:r w:rsidRPr="00A675AE">
        <w:rPr>
          <w:i/>
          <w:w w:val="105"/>
          <w:sz w:val="28"/>
        </w:rPr>
        <w:t>When in doubt, if any personal information the student tells you raises red flags, consult with</w:t>
      </w:r>
      <w:r w:rsidRPr="00A675AE">
        <w:rPr>
          <w:w w:val="105"/>
          <w:sz w:val="28"/>
        </w:rPr>
        <w:t xml:space="preserve"> the Student Advocacy and Accountability team. </w:t>
      </w:r>
      <w:hyperlink r:id="rId5" w:history="1">
        <w:r w:rsidRPr="00A675AE">
          <w:rPr>
            <w:rStyle w:val="Hyperlink"/>
            <w:w w:val="105"/>
            <w:sz w:val="28"/>
          </w:rPr>
          <w:t>https://webapps.mccneb.edu/bcat/</w:t>
        </w:r>
      </w:hyperlink>
      <w:r w:rsidRPr="00A675AE">
        <w:rPr>
          <w:b/>
          <w:color w:val="497A29"/>
          <w:sz w:val="22"/>
        </w:rPr>
        <w:t xml:space="preserve"> </w:t>
      </w:r>
    </w:p>
    <w:p w:rsidR="006512E7" w:rsidRDefault="006512E7">
      <w:pPr>
        <w:pStyle w:val="BodyText"/>
        <w:rPr>
          <w:sz w:val="20"/>
        </w:rPr>
      </w:pPr>
    </w:p>
    <w:p w:rsidR="006512E7" w:rsidRDefault="00EB3B3E">
      <w:pPr>
        <w:ind w:right="118"/>
        <w:jc w:val="right"/>
        <w:rPr>
          <w:b/>
          <w:sz w:val="24"/>
        </w:rPr>
      </w:pPr>
      <w:r>
        <w:rPr>
          <w:b/>
          <w:color w:val="497A29"/>
          <w:sz w:val="20"/>
        </w:rPr>
        <w:t xml:space="preserve"> </w:t>
      </w:r>
    </w:p>
    <w:sectPr w:rsidR="006512E7">
      <w:type w:val="continuous"/>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B2C"/>
    <w:multiLevelType w:val="hybridMultilevel"/>
    <w:tmpl w:val="DC6A73E6"/>
    <w:lvl w:ilvl="0" w:tplc="B25AC044">
      <w:numFmt w:val="bullet"/>
      <w:lvlText w:val=""/>
      <w:lvlJc w:val="left"/>
      <w:pPr>
        <w:ind w:left="266" w:hanging="159"/>
      </w:pPr>
      <w:rPr>
        <w:rFonts w:ascii="Symbol" w:eastAsia="Symbol" w:hAnsi="Symbol" w:cs="Symbol" w:hint="default"/>
        <w:w w:val="100"/>
        <w:sz w:val="24"/>
        <w:szCs w:val="24"/>
      </w:rPr>
    </w:lvl>
    <w:lvl w:ilvl="1" w:tplc="821CE086">
      <w:numFmt w:val="bullet"/>
      <w:lvlText w:val="•"/>
      <w:lvlJc w:val="left"/>
      <w:pPr>
        <w:ind w:left="741" w:hanging="159"/>
      </w:pPr>
      <w:rPr>
        <w:rFonts w:hint="default"/>
      </w:rPr>
    </w:lvl>
    <w:lvl w:ilvl="2" w:tplc="0B143B58">
      <w:numFmt w:val="bullet"/>
      <w:lvlText w:val="•"/>
      <w:lvlJc w:val="left"/>
      <w:pPr>
        <w:ind w:left="1222" w:hanging="159"/>
      </w:pPr>
      <w:rPr>
        <w:rFonts w:hint="default"/>
      </w:rPr>
    </w:lvl>
    <w:lvl w:ilvl="3" w:tplc="EEFCF34A">
      <w:numFmt w:val="bullet"/>
      <w:lvlText w:val="•"/>
      <w:lvlJc w:val="left"/>
      <w:pPr>
        <w:ind w:left="1704" w:hanging="159"/>
      </w:pPr>
      <w:rPr>
        <w:rFonts w:hint="default"/>
      </w:rPr>
    </w:lvl>
    <w:lvl w:ilvl="4" w:tplc="EC342522">
      <w:numFmt w:val="bullet"/>
      <w:lvlText w:val="•"/>
      <w:lvlJc w:val="left"/>
      <w:pPr>
        <w:ind w:left="2185" w:hanging="159"/>
      </w:pPr>
      <w:rPr>
        <w:rFonts w:hint="default"/>
      </w:rPr>
    </w:lvl>
    <w:lvl w:ilvl="5" w:tplc="EC0AFF14">
      <w:numFmt w:val="bullet"/>
      <w:lvlText w:val="•"/>
      <w:lvlJc w:val="left"/>
      <w:pPr>
        <w:ind w:left="2667" w:hanging="159"/>
      </w:pPr>
      <w:rPr>
        <w:rFonts w:hint="default"/>
      </w:rPr>
    </w:lvl>
    <w:lvl w:ilvl="6" w:tplc="45EA705E">
      <w:numFmt w:val="bullet"/>
      <w:lvlText w:val="•"/>
      <w:lvlJc w:val="left"/>
      <w:pPr>
        <w:ind w:left="3148" w:hanging="159"/>
      </w:pPr>
      <w:rPr>
        <w:rFonts w:hint="default"/>
      </w:rPr>
    </w:lvl>
    <w:lvl w:ilvl="7" w:tplc="5552A572">
      <w:numFmt w:val="bullet"/>
      <w:lvlText w:val="•"/>
      <w:lvlJc w:val="left"/>
      <w:pPr>
        <w:ind w:left="3629" w:hanging="159"/>
      </w:pPr>
      <w:rPr>
        <w:rFonts w:hint="default"/>
      </w:rPr>
    </w:lvl>
    <w:lvl w:ilvl="8" w:tplc="92AA1ED0">
      <w:numFmt w:val="bullet"/>
      <w:lvlText w:val="•"/>
      <w:lvlJc w:val="left"/>
      <w:pPr>
        <w:ind w:left="4111" w:hanging="159"/>
      </w:pPr>
      <w:rPr>
        <w:rFonts w:hint="default"/>
      </w:rPr>
    </w:lvl>
  </w:abstractNum>
  <w:abstractNum w:abstractNumId="1" w15:restartNumberingAfterBreak="0">
    <w:nsid w:val="3C0E15FF"/>
    <w:multiLevelType w:val="hybridMultilevel"/>
    <w:tmpl w:val="05C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140CA"/>
    <w:multiLevelType w:val="hybridMultilevel"/>
    <w:tmpl w:val="B0D6A992"/>
    <w:lvl w:ilvl="0" w:tplc="BC8CDAF2">
      <w:numFmt w:val="bullet"/>
      <w:lvlText w:val=""/>
      <w:lvlJc w:val="left"/>
      <w:pPr>
        <w:ind w:left="309" w:hanging="202"/>
      </w:pPr>
      <w:rPr>
        <w:rFonts w:ascii="Symbol" w:eastAsia="Symbol" w:hAnsi="Symbol" w:cs="Symbol" w:hint="default"/>
        <w:w w:val="100"/>
        <w:sz w:val="24"/>
        <w:szCs w:val="24"/>
      </w:rPr>
    </w:lvl>
    <w:lvl w:ilvl="1" w:tplc="F0883880">
      <w:numFmt w:val="bullet"/>
      <w:lvlText w:val="•"/>
      <w:lvlJc w:val="left"/>
      <w:pPr>
        <w:ind w:left="767" w:hanging="202"/>
      </w:pPr>
      <w:rPr>
        <w:rFonts w:hint="default"/>
      </w:rPr>
    </w:lvl>
    <w:lvl w:ilvl="2" w:tplc="D6DC6E9A">
      <w:numFmt w:val="bullet"/>
      <w:lvlText w:val="•"/>
      <w:lvlJc w:val="left"/>
      <w:pPr>
        <w:ind w:left="1235" w:hanging="202"/>
      </w:pPr>
      <w:rPr>
        <w:rFonts w:hint="default"/>
      </w:rPr>
    </w:lvl>
    <w:lvl w:ilvl="3" w:tplc="81A62B22">
      <w:numFmt w:val="bullet"/>
      <w:lvlText w:val="•"/>
      <w:lvlJc w:val="left"/>
      <w:pPr>
        <w:ind w:left="1703" w:hanging="202"/>
      </w:pPr>
      <w:rPr>
        <w:rFonts w:hint="default"/>
      </w:rPr>
    </w:lvl>
    <w:lvl w:ilvl="4" w:tplc="FAFE8470">
      <w:numFmt w:val="bullet"/>
      <w:lvlText w:val="•"/>
      <w:lvlJc w:val="left"/>
      <w:pPr>
        <w:ind w:left="2171" w:hanging="202"/>
      </w:pPr>
      <w:rPr>
        <w:rFonts w:hint="default"/>
      </w:rPr>
    </w:lvl>
    <w:lvl w:ilvl="5" w:tplc="2EC8183C">
      <w:numFmt w:val="bullet"/>
      <w:lvlText w:val="•"/>
      <w:lvlJc w:val="left"/>
      <w:pPr>
        <w:ind w:left="2639" w:hanging="202"/>
      </w:pPr>
      <w:rPr>
        <w:rFonts w:hint="default"/>
      </w:rPr>
    </w:lvl>
    <w:lvl w:ilvl="6" w:tplc="3B7089D2">
      <w:numFmt w:val="bullet"/>
      <w:lvlText w:val="•"/>
      <w:lvlJc w:val="left"/>
      <w:pPr>
        <w:ind w:left="3106" w:hanging="202"/>
      </w:pPr>
      <w:rPr>
        <w:rFonts w:hint="default"/>
      </w:rPr>
    </w:lvl>
    <w:lvl w:ilvl="7" w:tplc="B66E251A">
      <w:numFmt w:val="bullet"/>
      <w:lvlText w:val="•"/>
      <w:lvlJc w:val="left"/>
      <w:pPr>
        <w:ind w:left="3574" w:hanging="202"/>
      </w:pPr>
      <w:rPr>
        <w:rFonts w:hint="default"/>
      </w:rPr>
    </w:lvl>
    <w:lvl w:ilvl="8" w:tplc="D43211CC">
      <w:numFmt w:val="bullet"/>
      <w:lvlText w:val="•"/>
      <w:lvlJc w:val="left"/>
      <w:pPr>
        <w:ind w:left="4042" w:hanging="202"/>
      </w:pPr>
      <w:rPr>
        <w:rFonts w:hint="default"/>
      </w:rPr>
    </w:lvl>
  </w:abstractNum>
  <w:abstractNum w:abstractNumId="3" w15:restartNumberingAfterBreak="0">
    <w:nsid w:val="6C2D56DD"/>
    <w:multiLevelType w:val="hybridMultilevel"/>
    <w:tmpl w:val="36BE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F4233"/>
    <w:multiLevelType w:val="hybridMultilevel"/>
    <w:tmpl w:val="B40A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4279A"/>
    <w:multiLevelType w:val="hybridMultilevel"/>
    <w:tmpl w:val="0060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E7"/>
    <w:rsid w:val="00141E66"/>
    <w:rsid w:val="00213E6B"/>
    <w:rsid w:val="004033D8"/>
    <w:rsid w:val="006512E7"/>
    <w:rsid w:val="0069467F"/>
    <w:rsid w:val="008C4FA5"/>
    <w:rsid w:val="00991591"/>
    <w:rsid w:val="00A675AE"/>
    <w:rsid w:val="00BA70ED"/>
    <w:rsid w:val="00D6488A"/>
    <w:rsid w:val="00DE4344"/>
    <w:rsid w:val="00EB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4DDB7-2B3F-4D8D-A487-9702815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ind w:left="266" w:hanging="201"/>
    </w:pPr>
  </w:style>
  <w:style w:type="character" w:styleId="Hyperlink">
    <w:name w:val="Hyperlink"/>
    <w:basedOn w:val="DefaultParagraphFont"/>
    <w:uiPriority w:val="99"/>
    <w:unhideWhenUsed/>
    <w:rsid w:val="00141E66"/>
    <w:rPr>
      <w:color w:val="0000FF" w:themeColor="hyperlink"/>
      <w:u w:val="single"/>
    </w:rPr>
  </w:style>
  <w:style w:type="paragraph" w:styleId="NoSpacing">
    <w:name w:val="No Spacing"/>
    <w:uiPriority w:val="1"/>
    <w:qFormat/>
    <w:rsid w:val="00A675AE"/>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D64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8A"/>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mccneb.edu/b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7</cp:revision>
  <cp:lastPrinted>2018-08-29T13:11:00Z</cp:lastPrinted>
  <dcterms:created xsi:type="dcterms:W3CDTF">2018-08-27T18:11:00Z</dcterms:created>
  <dcterms:modified xsi:type="dcterms:W3CDTF">2018-08-29T13:12:00Z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